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EF6BE6" w14:textId="083DDEDB" w:rsidR="00B66C64" w:rsidRPr="004F5790" w:rsidRDefault="009C5579" w:rsidP="004F5790">
      <w:pPr>
        <w:pStyle w:val="Titel"/>
        <w:rPr>
          <w:rFonts w:ascii="Calibri" w:eastAsia="Calibri" w:hAnsi="Calibri" w:cs="Calibri"/>
          <w:color w:val="000000"/>
          <w:sz w:val="32"/>
          <w:szCs w:val="32"/>
        </w:rPr>
      </w:pPr>
      <w:r w:rsidRPr="007C7BBB">
        <w:rPr>
          <w:rFonts w:ascii="Calibri" w:eastAsia="Calibri" w:hAnsi="Calibri" w:cs="Calibri"/>
          <w:color w:val="000000"/>
          <w:sz w:val="24"/>
          <w:szCs w:val="24"/>
        </w:rPr>
        <w:t xml:space="preserve">Press release: </w:t>
      </w:r>
      <w:r w:rsidR="007C7BBB" w:rsidRPr="007C7BBB">
        <w:rPr>
          <w:rFonts w:ascii="Calibri" w:eastAsia="Calibri" w:hAnsi="Calibri" w:cs="Calibri"/>
          <w:color w:val="000000"/>
          <w:sz w:val="24"/>
          <w:szCs w:val="24"/>
        </w:rPr>
        <w:t>5 October</w:t>
      </w:r>
      <w:r w:rsidRPr="007C7BBB">
        <w:rPr>
          <w:rFonts w:ascii="Calibri" w:eastAsia="Calibri" w:hAnsi="Calibri" w:cs="Calibri"/>
          <w:color w:val="000000"/>
          <w:sz w:val="24"/>
          <w:szCs w:val="24"/>
        </w:rPr>
        <w:t xml:space="preserve"> 202</w:t>
      </w:r>
      <w:r w:rsidR="00BF3F0D" w:rsidRPr="007C7BBB">
        <w:rPr>
          <w:rFonts w:ascii="Calibri" w:eastAsia="Calibri" w:hAnsi="Calibri" w:cs="Calibri"/>
          <w:color w:val="000000"/>
          <w:sz w:val="24"/>
          <w:szCs w:val="24"/>
        </w:rPr>
        <w:t>2</w:t>
      </w:r>
      <w:r w:rsidR="004F5790">
        <w:rPr>
          <w:rFonts w:ascii="Calibri" w:eastAsia="Calibri" w:hAnsi="Calibri" w:cs="Calibri"/>
          <w:color w:val="000000"/>
          <w:sz w:val="24"/>
          <w:szCs w:val="24"/>
        </w:rPr>
        <w:t xml:space="preserve">                                                             </w:t>
      </w:r>
      <w:r w:rsidR="004F5790">
        <w:drawing>
          <wp:inline distT="0" distB="0" distL="0" distR="0" wp14:anchorId="2EA0698C" wp14:editId="2B08268B">
            <wp:extent cx="1713842" cy="448302"/>
            <wp:effectExtent l="0" t="0" r="1270" b="9525"/>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13842" cy="448302"/>
                    </a:xfrm>
                    <a:prstGeom prst="rect">
                      <a:avLst/>
                    </a:prstGeom>
                    <a:noFill/>
                    <a:ln>
                      <a:noFill/>
                    </a:ln>
                  </pic:spPr>
                </pic:pic>
              </a:graphicData>
            </a:graphic>
          </wp:inline>
        </w:drawing>
      </w:r>
    </w:p>
    <w:tbl>
      <w:tblPr>
        <w:tblStyle w:val="a"/>
        <w:tblW w:w="9026" w:type="dxa"/>
        <w:tblBorders>
          <w:top w:val="single" w:sz="4" w:space="0" w:color="000000"/>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2986"/>
        <w:gridCol w:w="3054"/>
        <w:gridCol w:w="2986"/>
      </w:tblGrid>
      <w:tr w:rsidR="00B66C64" w14:paraId="34CDA9F4" w14:textId="77777777">
        <w:tc>
          <w:tcPr>
            <w:tcW w:w="2986" w:type="dxa"/>
          </w:tcPr>
          <w:p w14:paraId="050B2250" w14:textId="77777777" w:rsidR="00B66C64" w:rsidRPr="004F5790" w:rsidRDefault="00462C5A">
            <w:pPr>
              <w:rPr>
                <w:rFonts w:ascii="Calibri" w:eastAsia="Calibri" w:hAnsi="Calibri" w:cs="Calibri"/>
                <w:b/>
                <w:sz w:val="18"/>
                <w:szCs w:val="18"/>
              </w:rPr>
            </w:pPr>
            <w:r w:rsidRPr="004F5790">
              <w:rPr>
                <w:rFonts w:ascii="Calibri" w:eastAsia="Calibri" w:hAnsi="Calibri" w:cs="Calibri"/>
                <w:b/>
                <w:sz w:val="18"/>
                <w:szCs w:val="18"/>
              </w:rPr>
              <w:t>OSPAR Contact:</w:t>
            </w:r>
          </w:p>
          <w:p w14:paraId="42B93649" w14:textId="77777777" w:rsidR="001F1777" w:rsidRPr="004F5790" w:rsidRDefault="00462C5A">
            <w:pPr>
              <w:rPr>
                <w:rFonts w:ascii="Calibri" w:eastAsia="Calibri" w:hAnsi="Calibri" w:cs="Calibri"/>
                <w:b/>
                <w:sz w:val="18"/>
                <w:szCs w:val="18"/>
              </w:rPr>
            </w:pPr>
            <w:r w:rsidRPr="004F5790">
              <w:rPr>
                <w:rFonts w:ascii="Calibri" w:eastAsia="Calibri" w:hAnsi="Calibri" w:cs="Calibri"/>
                <w:b/>
                <w:sz w:val="18"/>
                <w:szCs w:val="18"/>
              </w:rPr>
              <w:t>Lucy Ritchie</w:t>
            </w:r>
          </w:p>
          <w:p w14:paraId="26FD59BB" w14:textId="34B5EFB1" w:rsidR="00B66C64" w:rsidRPr="004F5790" w:rsidRDefault="001F1777">
            <w:pPr>
              <w:rPr>
                <w:rFonts w:ascii="Calibri" w:eastAsia="Calibri" w:hAnsi="Calibri" w:cs="Calibri"/>
                <w:b/>
                <w:sz w:val="18"/>
                <w:szCs w:val="18"/>
              </w:rPr>
            </w:pPr>
            <w:r w:rsidRPr="004F5790">
              <w:rPr>
                <w:rFonts w:ascii="Calibri" w:eastAsia="Calibri" w:hAnsi="Calibri" w:cs="Calibri"/>
                <w:b/>
                <w:sz w:val="18"/>
                <w:szCs w:val="18"/>
              </w:rPr>
              <w:t>Communications Lead</w:t>
            </w:r>
          </w:p>
        </w:tc>
        <w:tc>
          <w:tcPr>
            <w:tcW w:w="3054" w:type="dxa"/>
          </w:tcPr>
          <w:p w14:paraId="1D268412" w14:textId="5AD7CF78" w:rsidR="001F1777" w:rsidRPr="004F5790" w:rsidRDefault="00980589">
            <w:pPr>
              <w:rPr>
                <w:rFonts w:ascii="Calibri" w:eastAsia="Calibri" w:hAnsi="Calibri" w:cs="Calibri"/>
                <w:b/>
                <w:sz w:val="18"/>
                <w:szCs w:val="18"/>
              </w:rPr>
            </w:pPr>
            <w:hyperlink r:id="rId9" w:history="1">
              <w:r w:rsidR="001F1777" w:rsidRPr="004F5790">
                <w:rPr>
                  <w:rFonts w:ascii="Calibri" w:eastAsia="Calibri" w:hAnsi="Calibri" w:cs="Calibri"/>
                  <w:b/>
                  <w:sz w:val="18"/>
                  <w:szCs w:val="18"/>
                </w:rPr>
                <w:t>lucy.ritchie@ospar.org</w:t>
              </w:r>
            </w:hyperlink>
          </w:p>
          <w:p w14:paraId="60682F73" w14:textId="1A47C867" w:rsidR="00B66C64" w:rsidRPr="004F5790" w:rsidRDefault="001F1777">
            <w:pPr>
              <w:rPr>
                <w:rFonts w:ascii="Calibri" w:eastAsia="Calibri" w:hAnsi="Calibri" w:cs="Calibri"/>
                <w:b/>
                <w:sz w:val="18"/>
                <w:szCs w:val="18"/>
              </w:rPr>
            </w:pPr>
            <w:r w:rsidRPr="004F5790">
              <w:rPr>
                <w:rFonts w:ascii="Calibri" w:eastAsia="Calibri" w:hAnsi="Calibri" w:cs="Calibri"/>
                <w:b/>
                <w:sz w:val="18"/>
                <w:szCs w:val="18"/>
              </w:rPr>
              <w:t>07769613549</w:t>
            </w:r>
            <w:r w:rsidR="00462C5A" w:rsidRPr="004F5790">
              <w:rPr>
                <w:rFonts w:ascii="Calibri" w:eastAsia="Calibri" w:hAnsi="Calibri" w:cs="Calibri"/>
                <w:b/>
                <w:sz w:val="18"/>
                <w:szCs w:val="18"/>
              </w:rPr>
              <w:t xml:space="preserve"> </w:t>
            </w:r>
          </w:p>
          <w:p w14:paraId="17F14AC9" w14:textId="3B811BD8" w:rsidR="00B66C64" w:rsidRPr="004F5790" w:rsidRDefault="00980589">
            <w:pPr>
              <w:rPr>
                <w:rFonts w:asciiTheme="minorHAnsi" w:eastAsia="Calibri" w:hAnsiTheme="minorHAnsi" w:cstheme="minorHAnsi"/>
                <w:b/>
                <w:sz w:val="18"/>
                <w:szCs w:val="18"/>
              </w:rPr>
            </w:pPr>
            <w:hyperlink r:id="rId10" w:history="1">
              <w:r w:rsidR="007032E7" w:rsidRPr="004F5790">
                <w:rPr>
                  <w:rStyle w:val="Hyperlink"/>
                  <w:rFonts w:asciiTheme="minorHAnsi" w:eastAsia="Calibri" w:hAnsiTheme="minorHAnsi" w:cstheme="minorHAnsi"/>
                  <w:b/>
                  <w:sz w:val="18"/>
                  <w:szCs w:val="18"/>
                </w:rPr>
                <w:t>www.ospar.org</w:t>
              </w:r>
            </w:hyperlink>
          </w:p>
        </w:tc>
        <w:tc>
          <w:tcPr>
            <w:tcW w:w="2986" w:type="dxa"/>
          </w:tcPr>
          <w:p w14:paraId="1ECECC1A" w14:textId="77777777" w:rsidR="00B66C64" w:rsidRPr="004F5790" w:rsidRDefault="00462C5A">
            <w:pPr>
              <w:rPr>
                <w:rFonts w:ascii="Calibri" w:eastAsia="Calibri" w:hAnsi="Calibri" w:cs="Calibri"/>
                <w:sz w:val="18"/>
                <w:szCs w:val="18"/>
              </w:rPr>
            </w:pPr>
            <w:r w:rsidRPr="004F5790">
              <w:rPr>
                <w:rFonts w:ascii="Calibri" w:eastAsia="Calibri" w:hAnsi="Calibri" w:cs="Calibri"/>
                <w:sz w:val="18"/>
                <w:szCs w:val="18"/>
              </w:rPr>
              <w:t>The Aspect</w:t>
            </w:r>
          </w:p>
          <w:p w14:paraId="7E78B511" w14:textId="77777777" w:rsidR="00B66C64" w:rsidRPr="004F5790" w:rsidRDefault="00462C5A">
            <w:pPr>
              <w:rPr>
                <w:rFonts w:ascii="Calibri" w:eastAsia="Calibri" w:hAnsi="Calibri" w:cs="Calibri"/>
                <w:sz w:val="18"/>
                <w:szCs w:val="18"/>
              </w:rPr>
            </w:pPr>
            <w:r w:rsidRPr="004F5790">
              <w:rPr>
                <w:rFonts w:ascii="Calibri" w:eastAsia="Calibri" w:hAnsi="Calibri" w:cs="Calibri"/>
                <w:sz w:val="18"/>
                <w:szCs w:val="18"/>
              </w:rPr>
              <w:t>12 Finsbury Square</w:t>
            </w:r>
          </w:p>
          <w:p w14:paraId="77C75325" w14:textId="77777777" w:rsidR="00B66C64" w:rsidRPr="004F5790" w:rsidRDefault="00462C5A">
            <w:pPr>
              <w:rPr>
                <w:rFonts w:ascii="Calibri" w:eastAsia="Calibri" w:hAnsi="Calibri" w:cs="Calibri"/>
                <w:sz w:val="18"/>
                <w:szCs w:val="18"/>
              </w:rPr>
            </w:pPr>
            <w:r w:rsidRPr="004F5790">
              <w:rPr>
                <w:rFonts w:ascii="Calibri" w:eastAsia="Calibri" w:hAnsi="Calibri" w:cs="Calibri"/>
                <w:sz w:val="18"/>
                <w:szCs w:val="18"/>
              </w:rPr>
              <w:t>London, EC2A 1AS</w:t>
            </w:r>
          </w:p>
        </w:tc>
      </w:tr>
    </w:tbl>
    <w:p w14:paraId="326F85FB" w14:textId="77777777" w:rsidR="00B66C64" w:rsidRDefault="00B66C64"/>
    <w:p w14:paraId="7B73B330" w14:textId="6857FF27" w:rsidR="00B66C64" w:rsidRPr="006F35C8" w:rsidRDefault="006348BB" w:rsidP="006F35C8">
      <w:pPr>
        <w:rPr>
          <w:b/>
          <w:bCs/>
        </w:rPr>
      </w:pPr>
      <w:r>
        <w:rPr>
          <w:b/>
          <w:bCs/>
        </w:rPr>
        <w:t xml:space="preserve">11% of the North-East Atlantic is now </w:t>
      </w:r>
      <w:r w:rsidR="00704F41">
        <w:rPr>
          <w:b/>
          <w:bCs/>
        </w:rPr>
        <w:t>protected</w:t>
      </w:r>
    </w:p>
    <w:p w14:paraId="52CD28BC" w14:textId="0544BF9A" w:rsidR="00BF3F0D" w:rsidRDefault="00BF3F0D" w:rsidP="00470FDD">
      <w:pPr>
        <w:jc w:val="both"/>
        <w:rPr>
          <w:rFonts w:eastAsia="Times New Roman"/>
          <w:lang w:eastAsia="en-US"/>
        </w:rPr>
      </w:pPr>
      <w:r>
        <w:rPr>
          <w:rFonts w:eastAsia="Times New Roman"/>
          <w:lang w:eastAsia="en-US"/>
        </w:rPr>
        <w:t>Today the OSPAR Commission announced that its network</w:t>
      </w:r>
      <w:r w:rsidRPr="00BF3F0D">
        <w:rPr>
          <w:rFonts w:eastAsia="Times New Roman"/>
          <w:lang w:eastAsia="en-US"/>
        </w:rPr>
        <w:t xml:space="preserve"> of </w:t>
      </w:r>
      <w:r>
        <w:rPr>
          <w:rFonts w:eastAsia="Times New Roman"/>
          <w:lang w:eastAsia="en-US"/>
        </w:rPr>
        <w:t xml:space="preserve">North-East Atlantic Marine Protected Areas (MPA) now </w:t>
      </w:r>
      <w:r w:rsidRPr="00BF3F0D">
        <w:rPr>
          <w:rFonts w:eastAsia="Times New Roman"/>
          <w:lang w:eastAsia="en-US"/>
        </w:rPr>
        <w:t>comprise</w:t>
      </w:r>
      <w:r>
        <w:rPr>
          <w:rFonts w:eastAsia="Times New Roman"/>
          <w:lang w:eastAsia="en-US"/>
        </w:rPr>
        <w:t>s</w:t>
      </w:r>
      <w:r w:rsidRPr="00BF3F0D">
        <w:rPr>
          <w:rFonts w:eastAsia="Times New Roman"/>
          <w:lang w:eastAsia="en-US"/>
        </w:rPr>
        <w:t xml:space="preserve"> 583 MPAs</w:t>
      </w:r>
      <w:r>
        <w:rPr>
          <w:rFonts w:eastAsia="Times New Roman"/>
          <w:lang w:eastAsia="en-US"/>
        </w:rPr>
        <w:t xml:space="preserve"> covering a surface area of 1.5 million km</w:t>
      </w:r>
      <w:r w:rsidR="00E83C14" w:rsidRPr="00E83C14">
        <w:rPr>
          <w:rFonts w:eastAsia="Times New Roman"/>
          <w:vertAlign w:val="superscript"/>
          <w:lang w:eastAsia="en-US"/>
        </w:rPr>
        <w:t>2</w:t>
      </w:r>
      <w:r w:rsidR="00E83C14">
        <w:rPr>
          <w:rFonts w:eastAsia="Times New Roman"/>
          <w:vertAlign w:val="superscript"/>
          <w:lang w:eastAsia="en-US"/>
        </w:rPr>
        <w:t xml:space="preserve"> </w:t>
      </w:r>
      <w:r w:rsidR="00E83C14">
        <w:rPr>
          <w:rFonts w:eastAsia="Times New Roman"/>
          <w:lang w:eastAsia="en-US"/>
        </w:rPr>
        <w:t>or 11% of the</w:t>
      </w:r>
      <w:r w:rsidR="00180F94">
        <w:rPr>
          <w:rFonts w:eastAsia="Times New Roman"/>
          <w:lang w:eastAsia="en-US"/>
        </w:rPr>
        <w:t xml:space="preserve"> North-East Atlantic</w:t>
      </w:r>
      <w:r w:rsidR="00E83C14">
        <w:rPr>
          <w:rFonts w:eastAsia="Times New Roman"/>
          <w:lang w:eastAsia="en-US"/>
        </w:rPr>
        <w:t xml:space="preserve">. This means that OSPAR has achieved </w:t>
      </w:r>
      <w:r w:rsidR="00E83C14" w:rsidRPr="00BF3F0D">
        <w:rPr>
          <w:rFonts w:eastAsia="Times New Roman"/>
          <w:lang w:eastAsia="en-US"/>
        </w:rPr>
        <w:t>Aichi Biodiversity target 11 of the United Nations Convention on Biological Diversity</w:t>
      </w:r>
      <w:r w:rsidR="00E83C14">
        <w:rPr>
          <w:rFonts w:eastAsia="Times New Roman"/>
          <w:lang w:eastAsia="en-US"/>
        </w:rPr>
        <w:t xml:space="preserve">. </w:t>
      </w:r>
    </w:p>
    <w:p w14:paraId="651E77EC" w14:textId="55AA68A4" w:rsidR="00BF3F0D" w:rsidRDefault="00E83C14" w:rsidP="00470FDD">
      <w:pPr>
        <w:jc w:val="both"/>
        <w:rPr>
          <w:rFonts w:eastAsia="Times New Roman"/>
          <w:lang w:eastAsia="en-US"/>
        </w:rPr>
      </w:pPr>
      <w:r w:rsidRPr="00E83C14">
        <w:rPr>
          <w:rFonts w:eastAsia="Times New Roman"/>
          <w:lang w:eastAsia="en-US"/>
        </w:rPr>
        <w:t xml:space="preserve">Since 2005, all 12 </w:t>
      </w:r>
      <w:r>
        <w:rPr>
          <w:rFonts w:eastAsia="Times New Roman"/>
          <w:lang w:eastAsia="en-US"/>
        </w:rPr>
        <w:t xml:space="preserve">OSPAR </w:t>
      </w:r>
      <w:r w:rsidRPr="00E83C14">
        <w:rPr>
          <w:rFonts w:eastAsia="Times New Roman"/>
          <w:lang w:eastAsia="en-US"/>
        </w:rPr>
        <w:t xml:space="preserve">Contracting Parties bordering the North-East Atlantic have nominated sites to the OSPAR Network of MPAs in their national waters. </w:t>
      </w:r>
      <w:r>
        <w:rPr>
          <w:rFonts w:eastAsia="Times New Roman"/>
          <w:lang w:eastAsia="en-US"/>
        </w:rPr>
        <w:t xml:space="preserve">In </w:t>
      </w:r>
      <w:r w:rsidR="00470FDD">
        <w:rPr>
          <w:rFonts w:eastAsia="Times New Roman"/>
          <w:lang w:eastAsia="en-US"/>
        </w:rPr>
        <w:t>addition,</w:t>
      </w:r>
      <w:r>
        <w:rPr>
          <w:rFonts w:eastAsia="Times New Roman"/>
          <w:lang w:eastAsia="en-US"/>
        </w:rPr>
        <w:t xml:space="preserve"> </w:t>
      </w:r>
      <w:r w:rsidRPr="00E83C14">
        <w:rPr>
          <w:rFonts w:eastAsia="Times New Roman"/>
          <w:lang w:eastAsia="en-US"/>
        </w:rPr>
        <w:t xml:space="preserve">Contracting Parties to OSPAR have collectively designated </w:t>
      </w:r>
      <w:r>
        <w:rPr>
          <w:rFonts w:eastAsia="Times New Roman"/>
          <w:lang w:eastAsia="en-US"/>
        </w:rPr>
        <w:t xml:space="preserve">8 </w:t>
      </w:r>
      <w:r w:rsidRPr="00E83C14">
        <w:rPr>
          <w:rFonts w:eastAsia="Times New Roman"/>
          <w:lang w:eastAsia="en-US"/>
        </w:rPr>
        <w:t xml:space="preserve">MPAs in </w:t>
      </w:r>
      <w:r w:rsidR="00704F41">
        <w:rPr>
          <w:rFonts w:eastAsia="Times New Roman"/>
          <w:lang w:eastAsia="en-US"/>
        </w:rPr>
        <w:t xml:space="preserve">areas outside of national jurisdiction, </w:t>
      </w:r>
      <w:r w:rsidR="00470FDD">
        <w:rPr>
          <w:rFonts w:eastAsia="Times New Roman"/>
          <w:lang w:eastAsia="en-US"/>
        </w:rPr>
        <w:t xml:space="preserve">including last year’s </w:t>
      </w:r>
      <w:r w:rsidR="005416CA">
        <w:rPr>
          <w:rFonts w:eastAsia="Times New Roman"/>
          <w:lang w:eastAsia="en-US"/>
        </w:rPr>
        <w:t xml:space="preserve">designation </w:t>
      </w:r>
      <w:r w:rsidR="00470FDD">
        <w:rPr>
          <w:rFonts w:eastAsia="Times New Roman"/>
          <w:lang w:eastAsia="en-US"/>
        </w:rPr>
        <w:t>of a high seas MPA of over 600 000 km</w:t>
      </w:r>
      <w:r w:rsidR="00470FDD" w:rsidRPr="00470FDD">
        <w:rPr>
          <w:rFonts w:eastAsia="Times New Roman"/>
          <w:vertAlign w:val="superscript"/>
          <w:lang w:eastAsia="en-US"/>
        </w:rPr>
        <w:t>2</w:t>
      </w:r>
      <w:r w:rsidR="00470FDD">
        <w:rPr>
          <w:rFonts w:eastAsia="Times New Roman"/>
          <w:lang w:eastAsia="en-US"/>
        </w:rPr>
        <w:t xml:space="preserve"> to protect seabirds. The </w:t>
      </w:r>
      <w:r w:rsidR="00470FDD" w:rsidRPr="00BF3F0D">
        <w:rPr>
          <w:rFonts w:eastAsia="Times New Roman"/>
          <w:lang w:eastAsia="en-US"/>
        </w:rPr>
        <w:t xml:space="preserve">North Atlantic Current and </w:t>
      </w:r>
      <w:proofErr w:type="spellStart"/>
      <w:r w:rsidR="00470FDD" w:rsidRPr="00BF3F0D">
        <w:rPr>
          <w:rFonts w:eastAsia="Times New Roman"/>
          <w:lang w:eastAsia="en-US"/>
        </w:rPr>
        <w:t>Evlanov</w:t>
      </w:r>
      <w:proofErr w:type="spellEnd"/>
      <w:r w:rsidR="00470FDD" w:rsidRPr="00BF3F0D">
        <w:rPr>
          <w:rFonts w:eastAsia="Times New Roman"/>
          <w:lang w:eastAsia="en-US"/>
        </w:rPr>
        <w:t xml:space="preserve"> Sea basin MPA</w:t>
      </w:r>
      <w:r w:rsidR="00470FDD">
        <w:rPr>
          <w:rFonts w:eastAsia="Times New Roman"/>
          <w:lang w:eastAsia="en-US"/>
        </w:rPr>
        <w:t xml:space="preserve"> will protect vitally important feeding and foraging areas for both coastal and migratory seabirds and was identified through tracking data</w:t>
      </w:r>
      <w:r w:rsidR="00992723">
        <w:rPr>
          <w:rFonts w:eastAsia="Times New Roman"/>
          <w:lang w:eastAsia="en-US"/>
        </w:rPr>
        <w:t xml:space="preserve"> for the first time</w:t>
      </w:r>
      <w:r w:rsidR="00470FDD">
        <w:rPr>
          <w:rFonts w:eastAsia="Times New Roman"/>
          <w:lang w:eastAsia="en-US"/>
        </w:rPr>
        <w:t xml:space="preserve">. </w:t>
      </w:r>
    </w:p>
    <w:p w14:paraId="1EF72864" w14:textId="499F9DE1" w:rsidR="00470FDD" w:rsidRDefault="006348BB" w:rsidP="00BF31A8">
      <w:pPr>
        <w:jc w:val="both"/>
        <w:rPr>
          <w:rFonts w:eastAsia="Times New Roman"/>
          <w:lang w:eastAsia="en-US"/>
        </w:rPr>
      </w:pPr>
      <w:r>
        <w:rPr>
          <w:rFonts w:eastAsia="Times New Roman"/>
          <w:lang w:eastAsia="en-US"/>
        </w:rPr>
        <w:t>There is still work to do</w:t>
      </w:r>
      <w:r w:rsidR="00992723">
        <w:rPr>
          <w:rFonts w:eastAsia="Times New Roman"/>
          <w:lang w:eastAsia="en-US"/>
        </w:rPr>
        <w:t>,</w:t>
      </w:r>
      <w:r>
        <w:rPr>
          <w:rFonts w:eastAsia="Times New Roman"/>
          <w:lang w:eastAsia="en-US"/>
        </w:rPr>
        <w:t xml:space="preserve"> and in 2021 OSPAR Contracting Parties committed to</w:t>
      </w:r>
      <w:r w:rsidR="00BF31A8" w:rsidRPr="00BF31A8">
        <w:rPr>
          <w:rFonts w:eastAsia="Times New Roman"/>
          <w:lang w:eastAsia="en-US"/>
        </w:rPr>
        <w:t xml:space="preserve"> </w:t>
      </w:r>
      <w:r>
        <w:rPr>
          <w:rFonts w:eastAsia="Times New Roman"/>
          <w:lang w:eastAsia="en-US"/>
        </w:rPr>
        <w:t>“</w:t>
      </w:r>
      <w:r w:rsidR="00BF31A8" w:rsidRPr="00BF31A8">
        <w:rPr>
          <w:rFonts w:eastAsia="Times New Roman"/>
          <w:lang w:eastAsia="en-US"/>
        </w:rPr>
        <w:t>further develop its network</w:t>
      </w:r>
      <w:r w:rsidR="00BF31A8">
        <w:rPr>
          <w:rFonts w:eastAsia="Times New Roman"/>
          <w:lang w:eastAsia="en-US"/>
        </w:rPr>
        <w:t xml:space="preserve"> </w:t>
      </w:r>
      <w:r w:rsidR="00BF31A8" w:rsidRPr="00BF31A8">
        <w:rPr>
          <w:rFonts w:eastAsia="Times New Roman"/>
          <w:lang w:eastAsia="en-US"/>
        </w:rPr>
        <w:t>of marine protected areas (MPAs) and other effective</w:t>
      </w:r>
      <w:r w:rsidR="00BF31A8">
        <w:rPr>
          <w:rFonts w:eastAsia="Times New Roman"/>
          <w:lang w:eastAsia="en-US"/>
        </w:rPr>
        <w:t xml:space="preserve"> </w:t>
      </w:r>
      <w:r w:rsidR="00BF31A8" w:rsidRPr="00BF31A8">
        <w:rPr>
          <w:rFonts w:eastAsia="Times New Roman"/>
          <w:lang w:eastAsia="en-US"/>
        </w:rPr>
        <w:t>conservation measures (OECMs)</w:t>
      </w:r>
      <w:r>
        <w:rPr>
          <w:rFonts w:eastAsia="Times New Roman"/>
          <w:lang w:eastAsia="en-US"/>
        </w:rPr>
        <w:t xml:space="preserve"> </w:t>
      </w:r>
      <w:r w:rsidR="00BF31A8" w:rsidRPr="00BF31A8">
        <w:rPr>
          <w:rFonts w:eastAsia="Times New Roman"/>
          <w:lang w:eastAsia="en-US"/>
        </w:rPr>
        <w:t>to cover at least 30%</w:t>
      </w:r>
      <w:r w:rsidR="00BF31A8">
        <w:rPr>
          <w:rFonts w:eastAsia="Times New Roman"/>
          <w:lang w:eastAsia="en-US"/>
        </w:rPr>
        <w:t xml:space="preserve"> </w:t>
      </w:r>
      <w:r w:rsidR="00BF31A8" w:rsidRPr="00BF31A8">
        <w:rPr>
          <w:rFonts w:eastAsia="Times New Roman"/>
          <w:lang w:eastAsia="en-US"/>
        </w:rPr>
        <w:t xml:space="preserve">of the OSPAR </w:t>
      </w:r>
      <w:r>
        <w:rPr>
          <w:rFonts w:eastAsia="Times New Roman"/>
          <w:lang w:eastAsia="en-US"/>
        </w:rPr>
        <w:t>M</w:t>
      </w:r>
      <w:r w:rsidR="00BF31A8" w:rsidRPr="00BF31A8">
        <w:rPr>
          <w:rFonts w:eastAsia="Times New Roman"/>
          <w:lang w:eastAsia="en-US"/>
        </w:rPr>
        <w:t xml:space="preserve">aritime </w:t>
      </w:r>
      <w:r>
        <w:rPr>
          <w:rFonts w:eastAsia="Times New Roman"/>
          <w:lang w:eastAsia="en-US"/>
        </w:rPr>
        <w:t>A</w:t>
      </w:r>
      <w:r w:rsidR="00BF31A8" w:rsidRPr="00BF31A8">
        <w:rPr>
          <w:rFonts w:eastAsia="Times New Roman"/>
          <w:lang w:eastAsia="en-US"/>
        </w:rPr>
        <w:t>rea to ensure it is representative,</w:t>
      </w:r>
      <w:r w:rsidR="00BF31A8">
        <w:rPr>
          <w:rFonts w:eastAsia="Times New Roman"/>
          <w:lang w:eastAsia="en-US"/>
        </w:rPr>
        <w:t xml:space="preserve"> </w:t>
      </w:r>
      <w:r w:rsidR="00BF31A8" w:rsidRPr="00BF31A8">
        <w:rPr>
          <w:rFonts w:eastAsia="Times New Roman"/>
          <w:lang w:eastAsia="en-US"/>
        </w:rPr>
        <w:t xml:space="preserve">ecologically </w:t>
      </w:r>
      <w:proofErr w:type="gramStart"/>
      <w:r w:rsidR="00BF31A8" w:rsidRPr="00BF31A8">
        <w:rPr>
          <w:rFonts w:eastAsia="Times New Roman"/>
          <w:lang w:eastAsia="en-US"/>
        </w:rPr>
        <w:t>coherent</w:t>
      </w:r>
      <w:proofErr w:type="gramEnd"/>
      <w:r w:rsidR="00BF31A8" w:rsidRPr="00BF31A8">
        <w:rPr>
          <w:rFonts w:eastAsia="Times New Roman"/>
          <w:lang w:eastAsia="en-US"/>
        </w:rPr>
        <w:t xml:space="preserve"> and effectively managed to achieve</w:t>
      </w:r>
      <w:r w:rsidR="00BF31A8">
        <w:rPr>
          <w:rFonts w:eastAsia="Times New Roman"/>
          <w:lang w:eastAsia="en-US"/>
        </w:rPr>
        <w:t xml:space="preserve"> </w:t>
      </w:r>
      <w:r w:rsidR="00BF31A8" w:rsidRPr="00BF31A8">
        <w:rPr>
          <w:rFonts w:eastAsia="Times New Roman"/>
          <w:lang w:eastAsia="en-US"/>
        </w:rPr>
        <w:t>its conservation objectives</w:t>
      </w:r>
      <w:r>
        <w:rPr>
          <w:rFonts w:eastAsia="Times New Roman"/>
          <w:lang w:eastAsia="en-US"/>
        </w:rPr>
        <w:t>” by 2030.</w:t>
      </w:r>
    </w:p>
    <w:p w14:paraId="335BEA07" w14:textId="77777777" w:rsidR="00470FDD" w:rsidRPr="00BF3F0D" w:rsidRDefault="00470FDD" w:rsidP="00BF3F0D">
      <w:pPr>
        <w:rPr>
          <w:rFonts w:eastAsia="Times New Roman"/>
          <w:lang w:eastAsia="en-US"/>
        </w:rPr>
      </w:pPr>
    </w:p>
    <w:p w14:paraId="2A25C365" w14:textId="67D34A8B" w:rsidR="00B66C64" w:rsidRDefault="00462C5A" w:rsidP="00AF64B3">
      <w:r>
        <w:t>ENDS</w:t>
      </w:r>
    </w:p>
    <w:p w14:paraId="1164F92D" w14:textId="7A8C9626" w:rsidR="00B66C64" w:rsidRPr="007C7BBB" w:rsidRDefault="00462C5A">
      <w:pPr>
        <w:jc w:val="both"/>
      </w:pPr>
      <w:r>
        <w:t>Note for editors</w:t>
      </w:r>
    </w:p>
    <w:p w14:paraId="1101E3C5" w14:textId="77777777" w:rsidR="00BF31A8" w:rsidRPr="007C7BBB" w:rsidRDefault="00462C5A" w:rsidP="00BF31A8">
      <w:pPr>
        <w:pStyle w:val="Listeafsnit"/>
        <w:numPr>
          <w:ilvl w:val="0"/>
          <w:numId w:val="3"/>
        </w:numPr>
        <w:rPr>
          <w:sz w:val="18"/>
          <w:szCs w:val="18"/>
        </w:rPr>
      </w:pPr>
      <w:r w:rsidRPr="007C7BBB">
        <w:rPr>
          <w:sz w:val="18"/>
          <w:szCs w:val="18"/>
        </w:rPr>
        <w:t xml:space="preserve">The OSPAR Commission was set up by the 1992 OSPAR Convention for the Protection of the Marine Environment of the North-East Atlantic, which unified and updated the 1972 Oslo and 1974 Paris Conventions. It brings together the governments of Belgium, Denmark, Finland, France, Germany, Iceland, Ireland, Luxembourg, the Netherlands, Norway, Portugal, Spain, Sweden, </w:t>
      </w:r>
      <w:proofErr w:type="gramStart"/>
      <w:r w:rsidRPr="007C7BBB">
        <w:rPr>
          <w:sz w:val="18"/>
          <w:szCs w:val="18"/>
        </w:rPr>
        <w:t>Switzerland</w:t>
      </w:r>
      <w:proofErr w:type="gramEnd"/>
      <w:r w:rsidRPr="007C7BBB">
        <w:rPr>
          <w:sz w:val="18"/>
          <w:szCs w:val="18"/>
        </w:rPr>
        <w:t xml:space="preserve"> and the United Kingdom, together with the European </w:t>
      </w:r>
      <w:r w:rsidR="003E4ADB" w:rsidRPr="007C7BBB">
        <w:rPr>
          <w:sz w:val="18"/>
          <w:szCs w:val="18"/>
        </w:rPr>
        <w:t>Union</w:t>
      </w:r>
      <w:r w:rsidRPr="007C7BBB">
        <w:rPr>
          <w:sz w:val="18"/>
          <w:szCs w:val="18"/>
        </w:rPr>
        <w:t>.</w:t>
      </w:r>
    </w:p>
    <w:p w14:paraId="507ACEAD" w14:textId="108BAC73" w:rsidR="00B66C64" w:rsidRPr="007C7BBB" w:rsidRDefault="00462C5A" w:rsidP="00BF31A8">
      <w:pPr>
        <w:pStyle w:val="Listeafsnit"/>
        <w:numPr>
          <w:ilvl w:val="0"/>
          <w:numId w:val="3"/>
        </w:numPr>
        <w:rPr>
          <w:sz w:val="18"/>
          <w:szCs w:val="18"/>
        </w:rPr>
      </w:pPr>
      <w:r w:rsidRPr="007C7BBB">
        <w:rPr>
          <w:sz w:val="18"/>
          <w:szCs w:val="18"/>
        </w:rPr>
        <w:t>OSPAR’s</w:t>
      </w:r>
      <w:r w:rsidR="00BF31A8" w:rsidRPr="007C7BBB">
        <w:rPr>
          <w:sz w:val="18"/>
          <w:szCs w:val="18"/>
        </w:rPr>
        <w:t xml:space="preserve"> </w:t>
      </w:r>
      <w:r w:rsidRPr="007C7BBB">
        <w:rPr>
          <w:sz w:val="18"/>
          <w:szCs w:val="18"/>
        </w:rPr>
        <w:t xml:space="preserve">North-East Atlantic Environment Strategy (NEAES) </w:t>
      </w:r>
      <w:r w:rsidR="00BF31A8" w:rsidRPr="007C7BBB">
        <w:rPr>
          <w:sz w:val="18"/>
          <w:szCs w:val="18"/>
        </w:rPr>
        <w:t>2030</w:t>
      </w:r>
      <w:r w:rsidRPr="007C7BBB">
        <w:rPr>
          <w:sz w:val="18"/>
          <w:szCs w:val="18"/>
        </w:rPr>
        <w:t xml:space="preserve"> </w:t>
      </w:r>
      <w:r w:rsidR="00BF31A8" w:rsidRPr="007C7BBB">
        <w:rPr>
          <w:sz w:val="18"/>
          <w:szCs w:val="18"/>
        </w:rPr>
        <w:t xml:space="preserve">details the commitments that OSPAR Contracting Parties have made to protect and conserve the North-East Atlantic and </w:t>
      </w:r>
      <w:r w:rsidRPr="007C7BBB">
        <w:rPr>
          <w:sz w:val="18"/>
          <w:szCs w:val="18"/>
        </w:rPr>
        <w:t xml:space="preserve">can be viewed here </w:t>
      </w:r>
      <w:hyperlink r:id="rId11" w:history="1">
        <w:r w:rsidR="00BF31A8" w:rsidRPr="007C7BBB">
          <w:rPr>
            <w:rStyle w:val="Hyperlink"/>
            <w:sz w:val="18"/>
            <w:szCs w:val="18"/>
          </w:rPr>
          <w:t>www.ospar.org/convention/strategy</w:t>
        </w:r>
      </w:hyperlink>
      <w:r w:rsidR="00BF31A8" w:rsidRPr="007C7BBB">
        <w:rPr>
          <w:sz w:val="18"/>
          <w:szCs w:val="18"/>
        </w:rPr>
        <w:t xml:space="preserve"> </w:t>
      </w:r>
    </w:p>
    <w:p w14:paraId="59636DE0" w14:textId="740333FB" w:rsidR="00BF31A8" w:rsidRPr="007C7BBB" w:rsidRDefault="00BF31A8" w:rsidP="00BF31A8">
      <w:pPr>
        <w:pStyle w:val="Listeafsnit"/>
        <w:numPr>
          <w:ilvl w:val="0"/>
          <w:numId w:val="3"/>
        </w:numPr>
        <w:rPr>
          <w:sz w:val="18"/>
          <w:szCs w:val="18"/>
        </w:rPr>
      </w:pPr>
      <w:r w:rsidRPr="007C7BBB">
        <w:rPr>
          <w:sz w:val="18"/>
          <w:szCs w:val="18"/>
        </w:rPr>
        <w:t xml:space="preserve">OSPAR’s newly published MPA status report can be viewed here: </w:t>
      </w:r>
      <w:hyperlink r:id="rId12" w:history="1">
        <w:r w:rsidR="007C7BBB" w:rsidRPr="007C7BBB">
          <w:rPr>
            <w:rStyle w:val="Hyperlink"/>
            <w:sz w:val="18"/>
            <w:szCs w:val="18"/>
          </w:rPr>
          <w:t>https://oap.ospar.org/en/ospar-assessments/committee-assessments/biodiversity-committee/status-ospar-network-marine-protected-areas/assessment-reports-mpa/mpa-2021/</w:t>
        </w:r>
      </w:hyperlink>
      <w:r w:rsidR="007C7BBB" w:rsidRPr="007C7BBB">
        <w:rPr>
          <w:sz w:val="18"/>
          <w:szCs w:val="18"/>
        </w:rPr>
        <w:t xml:space="preserve"> </w:t>
      </w:r>
    </w:p>
    <w:p w14:paraId="7929EA9B" w14:textId="62DF38BB" w:rsidR="00BF31A8" w:rsidRPr="007C7BBB" w:rsidRDefault="00BF31A8" w:rsidP="009D0FA6">
      <w:pPr>
        <w:pStyle w:val="Listeafsnit"/>
        <w:numPr>
          <w:ilvl w:val="0"/>
          <w:numId w:val="3"/>
        </w:numPr>
        <w:jc w:val="both"/>
        <w:rPr>
          <w:sz w:val="20"/>
          <w:szCs w:val="20"/>
        </w:rPr>
      </w:pPr>
      <w:r w:rsidRPr="007C7BBB">
        <w:rPr>
          <w:sz w:val="18"/>
          <w:szCs w:val="18"/>
        </w:rPr>
        <w:t>OSPAR’s newly published MPA assessment sheet can be viewed here</w:t>
      </w:r>
      <w:r w:rsidR="001B5C07" w:rsidRPr="007C7BBB">
        <w:rPr>
          <w:sz w:val="18"/>
          <w:szCs w:val="18"/>
        </w:rPr>
        <w:t>:</w:t>
      </w:r>
      <w:r w:rsidR="007C7BBB" w:rsidRPr="007C7BBB">
        <w:rPr>
          <w:sz w:val="18"/>
          <w:szCs w:val="18"/>
        </w:rPr>
        <w:t xml:space="preserve"> </w:t>
      </w:r>
      <w:hyperlink r:id="rId13" w:history="1">
        <w:r w:rsidR="00F75167" w:rsidRPr="00086788">
          <w:rPr>
            <w:rStyle w:val="Hyperlink"/>
            <w:sz w:val="18"/>
            <w:szCs w:val="18"/>
          </w:rPr>
          <w:t>https://oap.ospar.org/en/ospar-assessments/committee-assessments/biodiversity-committee/status-ospar-network-marine-protected-areas/assessment-sheets-mpa/mpa-status-2021/</w:t>
        </w:r>
      </w:hyperlink>
      <w:r w:rsidR="00F75167">
        <w:rPr>
          <w:sz w:val="18"/>
          <w:szCs w:val="18"/>
        </w:rPr>
        <w:t xml:space="preserve"> </w:t>
      </w:r>
    </w:p>
    <w:p w14:paraId="65BE5466" w14:textId="755ED4C1" w:rsidR="00B66C64" w:rsidRPr="006348BB" w:rsidRDefault="00BF31A8" w:rsidP="006348BB">
      <w:pPr>
        <w:ind w:left="360"/>
        <w:jc w:val="both"/>
        <w:rPr>
          <w:sz w:val="20"/>
          <w:szCs w:val="20"/>
        </w:rPr>
      </w:pPr>
      <w:r w:rsidRPr="00697246">
        <w:rPr>
          <w:noProof/>
        </w:rPr>
        <w:drawing>
          <wp:inline distT="0" distB="0" distL="0" distR="0" wp14:anchorId="1CE3ACB0" wp14:editId="11AA8D8B">
            <wp:extent cx="2266121" cy="2266121"/>
            <wp:effectExtent l="0" t="0" r="1270" b="1270"/>
            <wp:docPr id="7" name="Grafik 7"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Karte enthält.&#10;&#10;Automatisch generierte Beschreibung"/>
                    <pic:cNvPicPr/>
                  </pic:nvPicPr>
                  <pic:blipFill>
                    <a:blip r:embed="rId14"/>
                    <a:stretch>
                      <a:fillRect/>
                    </a:stretch>
                  </pic:blipFill>
                  <pic:spPr>
                    <a:xfrm>
                      <a:off x="0" y="0"/>
                      <a:ext cx="2282617" cy="2282617"/>
                    </a:xfrm>
                    <a:prstGeom prst="rect">
                      <a:avLst/>
                    </a:prstGeom>
                  </pic:spPr>
                </pic:pic>
              </a:graphicData>
            </a:graphic>
          </wp:inline>
        </w:drawing>
      </w:r>
    </w:p>
    <w:sectPr w:rsidR="00B66C64" w:rsidRPr="006348BB" w:rsidSect="004F5790">
      <w:headerReference w:type="default" r:id="rId15"/>
      <w:pgSz w:w="11906" w:h="16838"/>
      <w:pgMar w:top="1134" w:right="1134" w:bottom="1134" w:left="1134" w:header="708"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30A52A" w14:textId="77777777" w:rsidR="00980589" w:rsidRDefault="00980589" w:rsidP="00270215">
      <w:pPr>
        <w:spacing w:after="0" w:line="240" w:lineRule="auto"/>
      </w:pPr>
      <w:r>
        <w:separator/>
      </w:r>
    </w:p>
  </w:endnote>
  <w:endnote w:type="continuationSeparator" w:id="0">
    <w:p w14:paraId="668D54E4" w14:textId="77777777" w:rsidR="00980589" w:rsidRDefault="00980589" w:rsidP="002702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2333F7" w14:textId="77777777" w:rsidR="00980589" w:rsidRDefault="00980589" w:rsidP="00270215">
      <w:pPr>
        <w:spacing w:after="0" w:line="240" w:lineRule="auto"/>
      </w:pPr>
      <w:r>
        <w:separator/>
      </w:r>
    </w:p>
  </w:footnote>
  <w:footnote w:type="continuationSeparator" w:id="0">
    <w:p w14:paraId="69EDE87A" w14:textId="77777777" w:rsidR="00980589" w:rsidRDefault="00980589" w:rsidP="002702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55AED" w14:textId="3582030F" w:rsidR="00270215" w:rsidRDefault="00270215">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E10CA"/>
    <w:multiLevelType w:val="hybridMultilevel"/>
    <w:tmpl w:val="75CEFF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AF848B9"/>
    <w:multiLevelType w:val="hybridMultilevel"/>
    <w:tmpl w:val="75A020D4"/>
    <w:lvl w:ilvl="0" w:tplc="46BE530C">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7E431647"/>
    <w:multiLevelType w:val="hybridMultilevel"/>
    <w:tmpl w:val="AD566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6C64"/>
    <w:rsid w:val="00034C47"/>
    <w:rsid w:val="0009654B"/>
    <w:rsid w:val="0009715A"/>
    <w:rsid w:val="000C26B9"/>
    <w:rsid w:val="000E7177"/>
    <w:rsid w:val="001113F8"/>
    <w:rsid w:val="00112153"/>
    <w:rsid w:val="00137E96"/>
    <w:rsid w:val="001514FF"/>
    <w:rsid w:val="00170214"/>
    <w:rsid w:val="00180F94"/>
    <w:rsid w:val="001B5C07"/>
    <w:rsid w:val="001E3937"/>
    <w:rsid w:val="001F1777"/>
    <w:rsid w:val="001F571C"/>
    <w:rsid w:val="00213503"/>
    <w:rsid w:val="00270215"/>
    <w:rsid w:val="00296CFE"/>
    <w:rsid w:val="002F0F50"/>
    <w:rsid w:val="003C75EA"/>
    <w:rsid w:val="003E4ADB"/>
    <w:rsid w:val="00402EFE"/>
    <w:rsid w:val="00414E36"/>
    <w:rsid w:val="00426B6E"/>
    <w:rsid w:val="004404D6"/>
    <w:rsid w:val="004521C5"/>
    <w:rsid w:val="00462C5A"/>
    <w:rsid w:val="00470FDD"/>
    <w:rsid w:val="0047169B"/>
    <w:rsid w:val="004F5790"/>
    <w:rsid w:val="005161C5"/>
    <w:rsid w:val="005416CA"/>
    <w:rsid w:val="005A71BD"/>
    <w:rsid w:val="005E4790"/>
    <w:rsid w:val="005F79FD"/>
    <w:rsid w:val="006231F2"/>
    <w:rsid w:val="006348BB"/>
    <w:rsid w:val="00640F56"/>
    <w:rsid w:val="00651C25"/>
    <w:rsid w:val="00696AFF"/>
    <w:rsid w:val="006F35C8"/>
    <w:rsid w:val="007032E7"/>
    <w:rsid w:val="00704F41"/>
    <w:rsid w:val="0071747B"/>
    <w:rsid w:val="00730645"/>
    <w:rsid w:val="007401C6"/>
    <w:rsid w:val="007B3A9B"/>
    <w:rsid w:val="007C7BBB"/>
    <w:rsid w:val="007E076C"/>
    <w:rsid w:val="008224F3"/>
    <w:rsid w:val="00835950"/>
    <w:rsid w:val="00870C41"/>
    <w:rsid w:val="008E2A38"/>
    <w:rsid w:val="008F05A8"/>
    <w:rsid w:val="00926845"/>
    <w:rsid w:val="00935F14"/>
    <w:rsid w:val="00951158"/>
    <w:rsid w:val="00952021"/>
    <w:rsid w:val="0097613B"/>
    <w:rsid w:val="00980589"/>
    <w:rsid w:val="00992723"/>
    <w:rsid w:val="009C5579"/>
    <w:rsid w:val="00A014B3"/>
    <w:rsid w:val="00A42F3D"/>
    <w:rsid w:val="00A610C1"/>
    <w:rsid w:val="00A76891"/>
    <w:rsid w:val="00AE45C0"/>
    <w:rsid w:val="00AF64B3"/>
    <w:rsid w:val="00B2005C"/>
    <w:rsid w:val="00B66C64"/>
    <w:rsid w:val="00B974C7"/>
    <w:rsid w:val="00BB5D41"/>
    <w:rsid w:val="00BF31A8"/>
    <w:rsid w:val="00BF3F0D"/>
    <w:rsid w:val="00D504C6"/>
    <w:rsid w:val="00D60977"/>
    <w:rsid w:val="00D639AB"/>
    <w:rsid w:val="00E12060"/>
    <w:rsid w:val="00E66ACB"/>
    <w:rsid w:val="00E83C14"/>
    <w:rsid w:val="00F009FD"/>
    <w:rsid w:val="00F619ED"/>
    <w:rsid w:val="00F75167"/>
    <w:rsid w:val="00F827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DB21BB"/>
  <w15:docId w15:val="{B9F6507D-2137-4245-B186-1AA932868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spacing w:before="480" w:after="120"/>
      <w:outlineLvl w:val="0"/>
    </w:pPr>
    <w:rPr>
      <w:b/>
      <w:sz w:val="48"/>
      <w:szCs w:val="48"/>
    </w:rPr>
  </w:style>
  <w:style w:type="paragraph" w:styleId="Overskrift2">
    <w:name w:val="heading 2"/>
    <w:basedOn w:val="Normal"/>
    <w:next w:val="Normal"/>
    <w:uiPriority w:val="9"/>
    <w:semiHidden/>
    <w:unhideWhenUsed/>
    <w:qFormat/>
    <w:pPr>
      <w:keepNext/>
      <w:keepLines/>
      <w:spacing w:before="360" w:after="80"/>
      <w:outlineLvl w:val="1"/>
    </w:pPr>
    <w:rPr>
      <w:b/>
      <w:sz w:val="36"/>
      <w:szCs w:val="36"/>
    </w:rPr>
  </w:style>
  <w:style w:type="paragraph" w:styleId="Overskrift3">
    <w:name w:val="heading 3"/>
    <w:basedOn w:val="Normal"/>
    <w:next w:val="Normal"/>
    <w:uiPriority w:val="9"/>
    <w:semiHidden/>
    <w:unhideWhenUsed/>
    <w:qFormat/>
    <w:pPr>
      <w:keepNext/>
      <w:keepLines/>
      <w:spacing w:before="280" w:after="80"/>
      <w:outlineLvl w:val="2"/>
    </w:pPr>
    <w:rPr>
      <w:b/>
      <w:sz w:val="28"/>
      <w:szCs w:val="28"/>
    </w:rPr>
  </w:style>
  <w:style w:type="paragraph" w:styleId="Overskrift4">
    <w:name w:val="heading 4"/>
    <w:basedOn w:val="Normal"/>
    <w:next w:val="Normal"/>
    <w:uiPriority w:val="9"/>
    <w:semiHidden/>
    <w:unhideWhenUsed/>
    <w:qFormat/>
    <w:pPr>
      <w:keepNext/>
      <w:keepLines/>
      <w:spacing w:before="240" w:after="40"/>
      <w:outlineLvl w:val="3"/>
    </w:pPr>
    <w:rPr>
      <w:b/>
      <w:sz w:val="24"/>
      <w:szCs w:val="24"/>
    </w:rPr>
  </w:style>
  <w:style w:type="paragraph" w:styleId="Overskrift5">
    <w:name w:val="heading 5"/>
    <w:basedOn w:val="Normal"/>
    <w:next w:val="Normal"/>
    <w:uiPriority w:val="9"/>
    <w:semiHidden/>
    <w:unhideWhenUsed/>
    <w:qFormat/>
    <w:pPr>
      <w:keepNext/>
      <w:keepLines/>
      <w:spacing w:before="220" w:after="40"/>
      <w:outlineLvl w:val="4"/>
    </w:pPr>
    <w:rPr>
      <w:b/>
    </w:rPr>
  </w:style>
  <w:style w:type="paragraph" w:styleId="Overskrift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Titel">
    <w:name w:val="Title"/>
    <w:link w:val="TitelTegn"/>
    <w:uiPriority w:val="10"/>
    <w:qFormat/>
    <w:rsid w:val="00225E61"/>
    <w:pPr>
      <w:spacing w:after="0" w:line="480" w:lineRule="atLeast"/>
      <w:outlineLvl w:val="0"/>
    </w:pPr>
    <w:rPr>
      <w:rFonts w:ascii="Arial" w:eastAsia="Times New Roman" w:hAnsi="Arial" w:cs="Times New Roman"/>
      <w:noProof/>
      <w:color w:val="16288E"/>
      <w:kern w:val="28"/>
      <w:sz w:val="48"/>
      <w:szCs w:val="20"/>
    </w:rPr>
  </w:style>
  <w:style w:type="character" w:styleId="Hyperlink">
    <w:name w:val="Hyperlink"/>
    <w:rsid w:val="00225E61"/>
    <w:rPr>
      <w:color w:val="16288E"/>
      <w:u w:val="none"/>
    </w:rPr>
  </w:style>
  <w:style w:type="character" w:customStyle="1" w:styleId="TitelTegn">
    <w:name w:val="Titel Tegn"/>
    <w:basedOn w:val="Standardskrifttypeiafsnit"/>
    <w:link w:val="Titel"/>
    <w:rsid w:val="00225E61"/>
    <w:rPr>
      <w:rFonts w:ascii="Arial" w:eastAsia="Times New Roman" w:hAnsi="Arial" w:cs="Times New Roman"/>
      <w:noProof/>
      <w:color w:val="16288E"/>
      <w:kern w:val="28"/>
      <w:sz w:val="48"/>
      <w:szCs w:val="20"/>
      <w:lang w:eastAsia="en-GB"/>
    </w:rPr>
  </w:style>
  <w:style w:type="table" w:styleId="Tabel-Gitter">
    <w:name w:val="Table Grid"/>
    <w:basedOn w:val="Tabel-Normal"/>
    <w:uiPriority w:val="59"/>
    <w:rsid w:val="00225E6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ndertite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el-Normal"/>
    <w:pPr>
      <w:spacing w:after="0" w:line="240" w:lineRule="auto"/>
    </w:pPr>
    <w:rPr>
      <w:rFonts w:ascii="Times New Roman" w:eastAsia="Times New Roman" w:hAnsi="Times New Roman" w:cs="Times New Roman"/>
      <w:sz w:val="20"/>
      <w:szCs w:val="20"/>
    </w:rPr>
    <w:tblPr>
      <w:tblStyleRowBandSize w:val="1"/>
      <w:tblStyleColBandSize w:val="1"/>
    </w:tblPr>
  </w:style>
  <w:style w:type="paragraph" w:styleId="Kommentartekst">
    <w:name w:val="annotation text"/>
    <w:basedOn w:val="Normal"/>
    <w:link w:val="KommentartekstTegn"/>
    <w:uiPriority w:val="99"/>
    <w:unhideWhenUsed/>
    <w:pPr>
      <w:spacing w:line="240" w:lineRule="auto"/>
    </w:pPr>
    <w:rPr>
      <w:sz w:val="20"/>
      <w:szCs w:val="20"/>
    </w:rPr>
  </w:style>
  <w:style w:type="character" w:customStyle="1" w:styleId="KommentartekstTegn">
    <w:name w:val="Kommentartekst Tegn"/>
    <w:basedOn w:val="Standardskrifttypeiafsnit"/>
    <w:link w:val="Kommentartekst"/>
    <w:uiPriority w:val="99"/>
    <w:rPr>
      <w:sz w:val="20"/>
      <w:szCs w:val="20"/>
    </w:rPr>
  </w:style>
  <w:style w:type="character" w:styleId="Kommentarhenvisning">
    <w:name w:val="annotation reference"/>
    <w:basedOn w:val="Standardskrifttypeiafsnit"/>
    <w:uiPriority w:val="99"/>
    <w:semiHidden/>
    <w:unhideWhenUsed/>
    <w:rPr>
      <w:sz w:val="16"/>
      <w:szCs w:val="16"/>
    </w:rPr>
  </w:style>
  <w:style w:type="paragraph" w:styleId="Kommentaremne">
    <w:name w:val="annotation subject"/>
    <w:basedOn w:val="Kommentartekst"/>
    <w:next w:val="Kommentartekst"/>
    <w:link w:val="KommentaremneTegn"/>
    <w:uiPriority w:val="99"/>
    <w:semiHidden/>
    <w:unhideWhenUsed/>
    <w:rsid w:val="0047169B"/>
    <w:rPr>
      <w:b/>
      <w:bCs/>
    </w:rPr>
  </w:style>
  <w:style w:type="character" w:customStyle="1" w:styleId="KommentaremneTegn">
    <w:name w:val="Kommentaremne Tegn"/>
    <w:basedOn w:val="KommentartekstTegn"/>
    <w:link w:val="Kommentaremne"/>
    <w:uiPriority w:val="99"/>
    <w:semiHidden/>
    <w:rsid w:val="0047169B"/>
    <w:rPr>
      <w:b/>
      <w:bCs/>
      <w:sz w:val="20"/>
      <w:szCs w:val="20"/>
    </w:rPr>
  </w:style>
  <w:style w:type="paragraph" w:styleId="Listeafsnit">
    <w:name w:val="List Paragraph"/>
    <w:basedOn w:val="Normal"/>
    <w:uiPriority w:val="34"/>
    <w:qFormat/>
    <w:rsid w:val="004404D6"/>
    <w:pPr>
      <w:spacing w:after="0" w:line="240" w:lineRule="auto"/>
      <w:ind w:left="720"/>
    </w:pPr>
    <w:rPr>
      <w:rFonts w:eastAsiaTheme="minorHAnsi"/>
    </w:rPr>
  </w:style>
  <w:style w:type="character" w:styleId="Ulstomtale">
    <w:name w:val="Unresolved Mention"/>
    <w:basedOn w:val="Standardskrifttypeiafsnit"/>
    <w:uiPriority w:val="99"/>
    <w:semiHidden/>
    <w:unhideWhenUsed/>
    <w:rsid w:val="001F1777"/>
    <w:rPr>
      <w:color w:val="605E5C"/>
      <w:shd w:val="clear" w:color="auto" w:fill="E1DFDD"/>
    </w:rPr>
  </w:style>
  <w:style w:type="paragraph" w:styleId="Sidehoved">
    <w:name w:val="header"/>
    <w:basedOn w:val="Normal"/>
    <w:link w:val="SidehovedTegn"/>
    <w:uiPriority w:val="99"/>
    <w:unhideWhenUsed/>
    <w:rsid w:val="00270215"/>
    <w:pPr>
      <w:tabs>
        <w:tab w:val="center" w:pos="4513"/>
        <w:tab w:val="right" w:pos="9026"/>
      </w:tabs>
      <w:spacing w:after="0" w:line="240" w:lineRule="auto"/>
    </w:pPr>
  </w:style>
  <w:style w:type="character" w:customStyle="1" w:styleId="SidehovedTegn">
    <w:name w:val="Sidehoved Tegn"/>
    <w:basedOn w:val="Standardskrifttypeiafsnit"/>
    <w:link w:val="Sidehoved"/>
    <w:uiPriority w:val="99"/>
    <w:rsid w:val="00270215"/>
  </w:style>
  <w:style w:type="paragraph" w:styleId="Sidefod">
    <w:name w:val="footer"/>
    <w:basedOn w:val="Normal"/>
    <w:link w:val="SidefodTegn"/>
    <w:uiPriority w:val="99"/>
    <w:unhideWhenUsed/>
    <w:rsid w:val="00270215"/>
    <w:pPr>
      <w:tabs>
        <w:tab w:val="center" w:pos="4513"/>
        <w:tab w:val="right" w:pos="9026"/>
      </w:tabs>
      <w:spacing w:after="0" w:line="240" w:lineRule="auto"/>
    </w:pPr>
  </w:style>
  <w:style w:type="character" w:customStyle="1" w:styleId="SidefodTegn">
    <w:name w:val="Sidefod Tegn"/>
    <w:basedOn w:val="Standardskrifttypeiafsnit"/>
    <w:link w:val="Sidefod"/>
    <w:uiPriority w:val="99"/>
    <w:rsid w:val="00270215"/>
  </w:style>
  <w:style w:type="paragraph" w:styleId="Korrektur">
    <w:name w:val="Revision"/>
    <w:hidden/>
    <w:uiPriority w:val="99"/>
    <w:semiHidden/>
    <w:rsid w:val="00704F4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98204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oap.ospar.org/en/ospar-assessments/committee-assessments/biodiversity-committee/status-ospar-network-marine-protected-areas/assessment-sheets-mpa/mpa-status-2021/"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oap.ospar.org/en/ospar-assessments/committee-assessments/biodiversity-committee/status-ospar-network-marine-protected-areas/assessment-reports-mpa/mpa-2021/"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spar.org/convention/strategy"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ospar.org" TargetMode="External"/><Relationship Id="rId4" Type="http://schemas.openxmlformats.org/officeDocument/2006/relationships/settings" Target="settings.xml"/><Relationship Id="rId9" Type="http://schemas.openxmlformats.org/officeDocument/2006/relationships/hyperlink" Target="mailto:lucy.ritchie@ospar.org" TargetMode="External"/><Relationship Id="rId14"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8m2yswc4hGWfF00JTYdkJghReMQ==">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455</Words>
  <Characters>2776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Lucy Ritchie</dc:creator>
  <cp:lastModifiedBy>Søren Anker Pedersen</cp:lastModifiedBy>
  <cp:revision>2</cp:revision>
  <dcterms:created xsi:type="dcterms:W3CDTF">2022-10-06T10:17:00Z</dcterms:created>
  <dcterms:modified xsi:type="dcterms:W3CDTF">2022-10-06T10:17:00Z</dcterms:modified>
</cp:coreProperties>
</file>